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059F" w14:textId="62B73984" w:rsidR="000A3F87" w:rsidRPr="00596C8F" w:rsidRDefault="000A3F87" w:rsidP="00297468">
      <w:pPr>
        <w:pStyle w:val="a3"/>
        <w:ind w:firstLine="709"/>
        <w:jc w:val="left"/>
        <w:rPr>
          <w:b/>
          <w:bCs/>
          <w:szCs w:val="28"/>
        </w:rPr>
      </w:pPr>
      <w:r w:rsidRPr="00596C8F">
        <w:rPr>
          <w:b/>
          <w:szCs w:val="28"/>
        </w:rPr>
        <w:t>УДК</w:t>
      </w:r>
      <w:r w:rsidR="00100E3D" w:rsidRPr="00596C8F">
        <w:rPr>
          <w:b/>
          <w:bCs/>
          <w:shd w:val="clear" w:color="auto" w:fill="EAEAEA"/>
        </w:rPr>
        <w:t xml:space="preserve"> 553.981.2</w:t>
      </w:r>
    </w:p>
    <w:p w14:paraId="4BDD1B78" w14:textId="4D30837D" w:rsidR="000A3F87" w:rsidRPr="00596C8F" w:rsidRDefault="000A3F87" w:rsidP="00297468">
      <w:pPr>
        <w:pStyle w:val="a3"/>
        <w:ind w:firstLine="709"/>
        <w:jc w:val="right"/>
        <w:rPr>
          <w:i/>
          <w:iCs/>
          <w:sz w:val="24"/>
        </w:rPr>
      </w:pPr>
      <w:r w:rsidRPr="00596C8F">
        <w:rPr>
          <w:i/>
          <w:iCs/>
          <w:sz w:val="24"/>
        </w:rPr>
        <w:t>Ю. В. </w:t>
      </w:r>
      <w:proofErr w:type="spellStart"/>
      <w:r w:rsidRPr="00596C8F">
        <w:rPr>
          <w:i/>
          <w:iCs/>
          <w:sz w:val="24"/>
        </w:rPr>
        <w:t>Лазєбна</w:t>
      </w:r>
      <w:proofErr w:type="spellEnd"/>
      <w:r w:rsidRPr="00596C8F">
        <w:rPr>
          <w:i/>
          <w:iCs/>
          <w:sz w:val="24"/>
        </w:rPr>
        <w:t>, асистент</w:t>
      </w:r>
    </w:p>
    <w:p w14:paraId="5931280D" w14:textId="5C78BFD6" w:rsidR="000A3F87" w:rsidRPr="00596C8F" w:rsidRDefault="000A3F87" w:rsidP="00297468">
      <w:pPr>
        <w:pStyle w:val="a3"/>
        <w:ind w:firstLine="709"/>
        <w:jc w:val="right"/>
        <w:rPr>
          <w:i/>
          <w:iCs/>
          <w:sz w:val="24"/>
        </w:rPr>
      </w:pPr>
      <w:r w:rsidRPr="00596C8F">
        <w:rPr>
          <w:i/>
          <w:iCs/>
          <w:sz w:val="24"/>
        </w:rPr>
        <w:t>А. Р. </w:t>
      </w:r>
      <w:proofErr w:type="spellStart"/>
      <w:r w:rsidRPr="00596C8F">
        <w:rPr>
          <w:i/>
          <w:iCs/>
          <w:sz w:val="24"/>
        </w:rPr>
        <w:t>Новоженіна</w:t>
      </w:r>
      <w:proofErr w:type="spellEnd"/>
      <w:r w:rsidRPr="00596C8F">
        <w:rPr>
          <w:i/>
          <w:iCs/>
          <w:sz w:val="24"/>
        </w:rPr>
        <w:t xml:space="preserve">, </w:t>
      </w:r>
      <w:proofErr w:type="spellStart"/>
      <w:r w:rsidRPr="00596C8F">
        <w:rPr>
          <w:i/>
          <w:iCs/>
          <w:sz w:val="24"/>
        </w:rPr>
        <w:t>студ</w:t>
      </w:r>
      <w:proofErr w:type="spellEnd"/>
      <w:r w:rsidRPr="00596C8F">
        <w:rPr>
          <w:i/>
          <w:iCs/>
          <w:sz w:val="24"/>
        </w:rPr>
        <w:t>. гр. 201НЗ</w:t>
      </w:r>
    </w:p>
    <w:p w14:paraId="67440EFF" w14:textId="77777777" w:rsidR="000A3F87" w:rsidRPr="00596C8F" w:rsidRDefault="000A3F87" w:rsidP="00297468">
      <w:pPr>
        <w:tabs>
          <w:tab w:val="left" w:pos="9355"/>
        </w:tabs>
        <w:spacing w:after="0" w:line="240" w:lineRule="auto"/>
        <w:ind w:left="360" w:right="-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6C8F">
        <w:rPr>
          <w:rFonts w:ascii="Times New Roman" w:hAnsi="Times New Roman" w:cs="Times New Roman"/>
          <w:i/>
          <w:iCs/>
          <w:sz w:val="24"/>
          <w:szCs w:val="24"/>
        </w:rPr>
        <w:t>Національний університет</w:t>
      </w:r>
    </w:p>
    <w:p w14:paraId="3900340A" w14:textId="77777777" w:rsidR="000A3F87" w:rsidRPr="00596C8F" w:rsidRDefault="000A3F87" w:rsidP="00297468">
      <w:pPr>
        <w:tabs>
          <w:tab w:val="left" w:pos="9355"/>
        </w:tabs>
        <w:spacing w:after="0" w:line="240" w:lineRule="auto"/>
        <w:ind w:left="360" w:right="-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6C8F">
        <w:rPr>
          <w:rFonts w:ascii="Times New Roman" w:hAnsi="Times New Roman" w:cs="Times New Roman"/>
          <w:i/>
          <w:iCs/>
          <w:sz w:val="24"/>
          <w:szCs w:val="24"/>
        </w:rPr>
        <w:t>«Полтавська політехніка імені Юрія Кондратюка»</w:t>
      </w:r>
    </w:p>
    <w:p w14:paraId="1F645600" w14:textId="77777777" w:rsidR="000A3F87" w:rsidRPr="00596C8F" w:rsidRDefault="000A3F87" w:rsidP="00297468">
      <w:pPr>
        <w:pStyle w:val="a3"/>
        <w:ind w:firstLine="709"/>
        <w:jc w:val="center"/>
        <w:rPr>
          <w:szCs w:val="28"/>
        </w:rPr>
      </w:pPr>
    </w:p>
    <w:p w14:paraId="5FBD57B8" w14:textId="2C0B62E1" w:rsidR="001015AC" w:rsidRPr="00596C8F" w:rsidRDefault="001015AC" w:rsidP="00297468">
      <w:pPr>
        <w:pStyle w:val="a3"/>
        <w:ind w:firstLine="709"/>
        <w:jc w:val="center"/>
        <w:rPr>
          <w:b/>
          <w:bCs/>
          <w:sz w:val="32"/>
          <w:szCs w:val="32"/>
        </w:rPr>
      </w:pPr>
      <w:r w:rsidRPr="00596C8F">
        <w:rPr>
          <w:b/>
          <w:bCs/>
          <w:sz w:val="32"/>
          <w:szCs w:val="32"/>
        </w:rPr>
        <w:t>ПОТЕНЦІАЛ ВИВЧЕННЯ КРИСТАЛІЧНИХ ПОРІД ФУНДАМЕНТУ НА ПРИКЛАДІ ПІВНІЧНОГО БОРТУ ДДЗ</w:t>
      </w:r>
    </w:p>
    <w:p w14:paraId="2B9B974D" w14:textId="426F8F69" w:rsidR="001015AC" w:rsidRPr="00596C8F" w:rsidRDefault="001015AC" w:rsidP="00297468">
      <w:pPr>
        <w:pStyle w:val="a3"/>
        <w:ind w:firstLine="709"/>
        <w:jc w:val="left"/>
        <w:rPr>
          <w:szCs w:val="28"/>
        </w:rPr>
      </w:pPr>
    </w:p>
    <w:p w14:paraId="4CDD7E45" w14:textId="77777777" w:rsidR="000A3F87" w:rsidRPr="00596C8F" w:rsidRDefault="000A3F87" w:rsidP="00297468">
      <w:pPr>
        <w:pStyle w:val="a3"/>
        <w:ind w:firstLine="709"/>
        <w:jc w:val="left"/>
        <w:rPr>
          <w:szCs w:val="28"/>
        </w:rPr>
      </w:pPr>
    </w:p>
    <w:p w14:paraId="3BC7A00B" w14:textId="046B3114" w:rsidR="003F6CB4" w:rsidRPr="00596C8F" w:rsidRDefault="004302CF" w:rsidP="00297468">
      <w:pPr>
        <w:pStyle w:val="a3"/>
        <w:ind w:firstLine="709"/>
        <w:rPr>
          <w:szCs w:val="28"/>
        </w:rPr>
      </w:pPr>
      <w:r w:rsidRPr="00596C8F">
        <w:rPr>
          <w:szCs w:val="28"/>
        </w:rPr>
        <w:t>П</w:t>
      </w:r>
      <w:r w:rsidR="003F6CB4" w:rsidRPr="00596C8F">
        <w:rPr>
          <w:szCs w:val="28"/>
        </w:rPr>
        <w:t>р</w:t>
      </w:r>
      <w:r w:rsidR="00D97622" w:rsidRPr="00596C8F">
        <w:rPr>
          <w:szCs w:val="28"/>
        </w:rPr>
        <w:t>і</w:t>
      </w:r>
      <w:r w:rsidR="003F6CB4" w:rsidRPr="00596C8F">
        <w:rPr>
          <w:szCs w:val="28"/>
        </w:rPr>
        <w:t>ор</w:t>
      </w:r>
      <w:r w:rsidR="002F672C" w:rsidRPr="00596C8F">
        <w:rPr>
          <w:szCs w:val="28"/>
        </w:rPr>
        <w:t>и</w:t>
      </w:r>
      <w:r w:rsidR="003F6CB4" w:rsidRPr="00596C8F">
        <w:rPr>
          <w:szCs w:val="28"/>
        </w:rPr>
        <w:t xml:space="preserve">тетними для пошуків нафти і газу на сьогодні </w:t>
      </w:r>
      <w:r w:rsidR="00D97622" w:rsidRPr="00596C8F">
        <w:rPr>
          <w:szCs w:val="28"/>
        </w:rPr>
        <w:t>в</w:t>
      </w:r>
      <w:r w:rsidR="003F6CB4" w:rsidRPr="00596C8F">
        <w:rPr>
          <w:szCs w:val="28"/>
        </w:rPr>
        <w:t>важаються товщі осадового чохла, оскільки 9</w:t>
      </w:r>
      <w:r w:rsidR="00AB3B81" w:rsidRPr="00596C8F">
        <w:rPr>
          <w:szCs w:val="28"/>
        </w:rPr>
        <w:t>9</w:t>
      </w:r>
      <w:r w:rsidR="003F6CB4" w:rsidRPr="00596C8F">
        <w:rPr>
          <w:szCs w:val="28"/>
        </w:rPr>
        <w:t>% відомих покладів приурочено саме до осадових гірських порід</w:t>
      </w:r>
      <w:r w:rsidR="00AB3B81" w:rsidRPr="00596C8F">
        <w:rPr>
          <w:szCs w:val="28"/>
        </w:rPr>
        <w:t xml:space="preserve"> [3]</w:t>
      </w:r>
      <w:r w:rsidR="008056E1" w:rsidRPr="00596C8F">
        <w:rPr>
          <w:szCs w:val="28"/>
        </w:rPr>
        <w:t xml:space="preserve"> і лише близько 1% припадає на всі інші</w:t>
      </w:r>
      <w:r w:rsidR="003F6CB4" w:rsidRPr="00596C8F">
        <w:rPr>
          <w:szCs w:val="28"/>
        </w:rPr>
        <w:t xml:space="preserve">. Але зважаючи на </w:t>
      </w:r>
      <w:r w:rsidR="002F672C" w:rsidRPr="00596C8F">
        <w:rPr>
          <w:szCs w:val="28"/>
        </w:rPr>
        <w:t>потреби</w:t>
      </w:r>
      <w:r w:rsidR="003F6CB4" w:rsidRPr="00596C8F">
        <w:rPr>
          <w:szCs w:val="28"/>
        </w:rPr>
        <w:t xml:space="preserve"> у збільшенні ресурсної бази</w:t>
      </w:r>
      <w:r w:rsidR="008056E1" w:rsidRPr="00596C8F">
        <w:rPr>
          <w:szCs w:val="28"/>
        </w:rPr>
        <w:t xml:space="preserve"> необхідно розширювати межі досліджень та пошуків</w:t>
      </w:r>
      <w:r w:rsidR="00D97622" w:rsidRPr="00596C8F">
        <w:rPr>
          <w:szCs w:val="28"/>
        </w:rPr>
        <w:t>,</w:t>
      </w:r>
      <w:r w:rsidR="008056E1" w:rsidRPr="00596C8F">
        <w:rPr>
          <w:szCs w:val="28"/>
        </w:rPr>
        <w:t xml:space="preserve"> у тому числі </w:t>
      </w:r>
      <w:r w:rsidR="002F672C" w:rsidRPr="00596C8F">
        <w:rPr>
          <w:szCs w:val="28"/>
        </w:rPr>
        <w:t xml:space="preserve">і </w:t>
      </w:r>
      <w:r w:rsidR="008056E1" w:rsidRPr="00596C8F">
        <w:rPr>
          <w:szCs w:val="28"/>
        </w:rPr>
        <w:t>в межах кристалічн</w:t>
      </w:r>
      <w:r w:rsidR="002F672C" w:rsidRPr="00596C8F">
        <w:rPr>
          <w:szCs w:val="28"/>
        </w:rPr>
        <w:t xml:space="preserve">ого </w:t>
      </w:r>
      <w:r w:rsidR="008056E1" w:rsidRPr="00596C8F">
        <w:rPr>
          <w:szCs w:val="28"/>
        </w:rPr>
        <w:t>фундаменту.</w:t>
      </w:r>
      <w:r w:rsidR="005C6B77" w:rsidRPr="00596C8F">
        <w:rPr>
          <w:szCs w:val="28"/>
        </w:rPr>
        <w:t xml:space="preserve"> </w:t>
      </w:r>
    </w:p>
    <w:p w14:paraId="08DBE225" w14:textId="43BECC42" w:rsidR="00930EEB" w:rsidRPr="00596C8F" w:rsidRDefault="008056E1" w:rsidP="00297468">
      <w:pPr>
        <w:pStyle w:val="a3"/>
        <w:ind w:firstLine="709"/>
        <w:rPr>
          <w:szCs w:val="28"/>
        </w:rPr>
      </w:pPr>
      <w:r w:rsidRPr="00596C8F">
        <w:rPr>
          <w:szCs w:val="28"/>
        </w:rPr>
        <w:t xml:space="preserve">Як відомо, породи фундаменту складені магматичними та давніми </w:t>
      </w:r>
      <w:proofErr w:type="spellStart"/>
      <w:r w:rsidRPr="00596C8F">
        <w:rPr>
          <w:szCs w:val="28"/>
        </w:rPr>
        <w:t>метаморфізованими</w:t>
      </w:r>
      <w:proofErr w:type="spellEnd"/>
      <w:r w:rsidRPr="00596C8F">
        <w:rPr>
          <w:szCs w:val="28"/>
        </w:rPr>
        <w:t xml:space="preserve"> гірськими породами</w:t>
      </w:r>
      <w:r w:rsidR="00147BAB" w:rsidRPr="00596C8F">
        <w:rPr>
          <w:szCs w:val="28"/>
        </w:rPr>
        <w:t>.</w:t>
      </w:r>
      <w:r w:rsidRPr="00596C8F">
        <w:rPr>
          <w:szCs w:val="28"/>
        </w:rPr>
        <w:t xml:space="preserve"> </w:t>
      </w:r>
      <w:r w:rsidR="00147BAB" w:rsidRPr="00596C8F">
        <w:rPr>
          <w:szCs w:val="28"/>
        </w:rPr>
        <w:t xml:space="preserve">Дані утворення </w:t>
      </w:r>
      <w:r w:rsidRPr="00596C8F">
        <w:rPr>
          <w:szCs w:val="28"/>
        </w:rPr>
        <w:t xml:space="preserve">часто </w:t>
      </w:r>
      <w:r w:rsidR="00BB7D9D" w:rsidRPr="00596C8F">
        <w:rPr>
          <w:szCs w:val="28"/>
        </w:rPr>
        <w:t>характеризуються складними умовами залягання</w:t>
      </w:r>
      <w:r w:rsidR="00147BAB" w:rsidRPr="00596C8F">
        <w:rPr>
          <w:szCs w:val="28"/>
        </w:rPr>
        <w:t xml:space="preserve"> і</w:t>
      </w:r>
      <w:r w:rsidR="00BB7D9D" w:rsidRPr="00596C8F">
        <w:rPr>
          <w:szCs w:val="28"/>
        </w:rPr>
        <w:t xml:space="preserve"> відсутні</w:t>
      </w:r>
      <w:r w:rsidR="00147BAB" w:rsidRPr="00596C8F">
        <w:rPr>
          <w:szCs w:val="28"/>
        </w:rPr>
        <w:t>стю</w:t>
      </w:r>
      <w:r w:rsidR="00BB7D9D" w:rsidRPr="00596C8F">
        <w:rPr>
          <w:szCs w:val="28"/>
        </w:rPr>
        <w:t xml:space="preserve"> </w:t>
      </w:r>
      <w:proofErr w:type="spellStart"/>
      <w:r w:rsidR="00930EEB" w:rsidRPr="00596C8F">
        <w:rPr>
          <w:szCs w:val="28"/>
        </w:rPr>
        <w:t>фільтраційно</w:t>
      </w:r>
      <w:proofErr w:type="spellEnd"/>
      <w:r w:rsidR="00930EEB" w:rsidRPr="00596C8F">
        <w:rPr>
          <w:szCs w:val="28"/>
        </w:rPr>
        <w:t>-ємнісн</w:t>
      </w:r>
      <w:r w:rsidR="00147BAB" w:rsidRPr="00596C8F">
        <w:rPr>
          <w:szCs w:val="28"/>
        </w:rPr>
        <w:t>их</w:t>
      </w:r>
      <w:r w:rsidR="00930EEB" w:rsidRPr="00596C8F">
        <w:rPr>
          <w:szCs w:val="28"/>
        </w:rPr>
        <w:t xml:space="preserve"> властивост</w:t>
      </w:r>
      <w:r w:rsidR="00147BAB" w:rsidRPr="00596C8F">
        <w:rPr>
          <w:szCs w:val="28"/>
        </w:rPr>
        <w:t>ей</w:t>
      </w:r>
      <w:r w:rsidR="00930EEB" w:rsidRPr="00596C8F">
        <w:rPr>
          <w:szCs w:val="28"/>
        </w:rPr>
        <w:t xml:space="preserve"> необхідн</w:t>
      </w:r>
      <w:r w:rsidR="00147BAB" w:rsidRPr="00596C8F">
        <w:rPr>
          <w:szCs w:val="28"/>
        </w:rPr>
        <w:t>их</w:t>
      </w:r>
      <w:r w:rsidR="00930EEB" w:rsidRPr="00596C8F">
        <w:rPr>
          <w:szCs w:val="28"/>
        </w:rPr>
        <w:t xml:space="preserve"> для формування покладів та </w:t>
      </w:r>
      <w:r w:rsidR="002F672C" w:rsidRPr="00596C8F">
        <w:rPr>
          <w:szCs w:val="28"/>
        </w:rPr>
        <w:t xml:space="preserve">їх </w:t>
      </w:r>
      <w:r w:rsidR="00930EEB" w:rsidRPr="00596C8F">
        <w:rPr>
          <w:szCs w:val="28"/>
        </w:rPr>
        <w:t xml:space="preserve">промислової розробки. Але за умов </w:t>
      </w:r>
      <w:proofErr w:type="spellStart"/>
      <w:r w:rsidR="00930EEB" w:rsidRPr="00596C8F">
        <w:rPr>
          <w:szCs w:val="28"/>
        </w:rPr>
        <w:t>розущільнення</w:t>
      </w:r>
      <w:proofErr w:type="spellEnd"/>
      <w:r w:rsidR="00930EEB" w:rsidRPr="00596C8F">
        <w:rPr>
          <w:szCs w:val="28"/>
        </w:rPr>
        <w:t xml:space="preserve"> кристалічних порід під дією певних геологічних процесів, </w:t>
      </w:r>
      <w:r w:rsidR="00147BAB" w:rsidRPr="00596C8F">
        <w:rPr>
          <w:szCs w:val="28"/>
        </w:rPr>
        <w:t>можливе</w:t>
      </w:r>
      <w:r w:rsidR="00930EEB" w:rsidRPr="00596C8F">
        <w:rPr>
          <w:szCs w:val="28"/>
        </w:rPr>
        <w:t xml:space="preserve"> </w:t>
      </w:r>
      <w:r w:rsidR="002F672C" w:rsidRPr="00596C8F">
        <w:rPr>
          <w:szCs w:val="28"/>
        </w:rPr>
        <w:t>утворення</w:t>
      </w:r>
      <w:r w:rsidR="00930EEB" w:rsidRPr="00596C8F">
        <w:rPr>
          <w:szCs w:val="28"/>
        </w:rPr>
        <w:t xml:space="preserve"> пористості </w:t>
      </w:r>
      <w:proofErr w:type="spellStart"/>
      <w:r w:rsidR="00930EEB" w:rsidRPr="00596C8F">
        <w:rPr>
          <w:szCs w:val="28"/>
        </w:rPr>
        <w:t>тріщинного</w:t>
      </w:r>
      <w:proofErr w:type="spellEnd"/>
      <w:r w:rsidR="00FA64DA" w:rsidRPr="00596C8F">
        <w:rPr>
          <w:szCs w:val="28"/>
        </w:rPr>
        <w:t xml:space="preserve"> </w:t>
      </w:r>
      <w:r w:rsidR="00930EEB" w:rsidRPr="00596C8F">
        <w:rPr>
          <w:szCs w:val="28"/>
        </w:rPr>
        <w:t>типу. Таким чином</w:t>
      </w:r>
      <w:r w:rsidR="00147BAB" w:rsidRPr="00596C8F">
        <w:rPr>
          <w:szCs w:val="28"/>
        </w:rPr>
        <w:t>,</w:t>
      </w:r>
      <w:r w:rsidR="00930EEB" w:rsidRPr="00596C8F">
        <w:rPr>
          <w:szCs w:val="28"/>
        </w:rPr>
        <w:t xml:space="preserve"> </w:t>
      </w:r>
      <w:r w:rsidR="000E460C" w:rsidRPr="00596C8F">
        <w:rPr>
          <w:szCs w:val="28"/>
        </w:rPr>
        <w:t xml:space="preserve">у породах фундаменту виникають </w:t>
      </w:r>
      <w:r w:rsidR="00FA64DA" w:rsidRPr="00596C8F">
        <w:rPr>
          <w:szCs w:val="28"/>
        </w:rPr>
        <w:t xml:space="preserve">пустоти, котрі можуть вміщувати </w:t>
      </w:r>
      <w:r w:rsidR="002F672C" w:rsidRPr="00596C8F">
        <w:rPr>
          <w:szCs w:val="28"/>
        </w:rPr>
        <w:t>й</w:t>
      </w:r>
      <w:r w:rsidR="00FA64DA" w:rsidRPr="00596C8F">
        <w:rPr>
          <w:szCs w:val="28"/>
        </w:rPr>
        <w:t xml:space="preserve"> фільтрувати вуглеводні і</w:t>
      </w:r>
      <w:r w:rsidR="005D7A79" w:rsidRPr="00596C8F">
        <w:rPr>
          <w:szCs w:val="28"/>
        </w:rPr>
        <w:t>,</w:t>
      </w:r>
      <w:r w:rsidR="00FA64DA" w:rsidRPr="00596C8F">
        <w:rPr>
          <w:szCs w:val="28"/>
        </w:rPr>
        <w:t xml:space="preserve"> відповідно</w:t>
      </w:r>
      <w:r w:rsidR="005D7A79" w:rsidRPr="00596C8F">
        <w:rPr>
          <w:szCs w:val="28"/>
        </w:rPr>
        <w:t>,</w:t>
      </w:r>
      <w:r w:rsidR="00FA64DA" w:rsidRPr="00596C8F">
        <w:rPr>
          <w:szCs w:val="28"/>
        </w:rPr>
        <w:t xml:space="preserve"> слугувати породою-колектором для формування покладів.</w:t>
      </w:r>
    </w:p>
    <w:p w14:paraId="4821BB2A" w14:textId="09AEE0F0" w:rsidR="003F6CB4" w:rsidRPr="00596C8F" w:rsidRDefault="005D7A79" w:rsidP="00297468">
      <w:pPr>
        <w:pStyle w:val="a3"/>
        <w:ind w:firstLine="709"/>
        <w:rPr>
          <w:szCs w:val="28"/>
        </w:rPr>
      </w:pPr>
      <w:r w:rsidRPr="00596C8F">
        <w:rPr>
          <w:szCs w:val="28"/>
        </w:rPr>
        <w:t xml:space="preserve">Прикладом продуктивних порід фундаменту є утворення </w:t>
      </w:r>
      <w:r w:rsidR="00104135" w:rsidRPr="00596C8F">
        <w:rPr>
          <w:szCs w:val="28"/>
        </w:rPr>
        <w:t>архей-протерозойського (</w:t>
      </w:r>
      <w:r w:rsidR="00104135" w:rsidRPr="00596C8F">
        <w:rPr>
          <w:szCs w:val="28"/>
          <w:lang w:val="en-US"/>
        </w:rPr>
        <w:t>AR</w:t>
      </w:r>
      <w:r w:rsidR="00104135" w:rsidRPr="00596C8F">
        <w:rPr>
          <w:szCs w:val="28"/>
        </w:rPr>
        <w:t xml:space="preserve"> - </w:t>
      </w:r>
      <w:r w:rsidR="00104135" w:rsidRPr="00596C8F">
        <w:rPr>
          <w:szCs w:val="28"/>
          <w:lang w:val="en-US"/>
        </w:rPr>
        <w:t>PR</w:t>
      </w:r>
      <w:r w:rsidR="00104135" w:rsidRPr="00596C8F">
        <w:rPr>
          <w:szCs w:val="28"/>
        </w:rPr>
        <w:t xml:space="preserve">) віку </w:t>
      </w:r>
      <w:r w:rsidRPr="00596C8F">
        <w:rPr>
          <w:szCs w:val="28"/>
        </w:rPr>
        <w:t xml:space="preserve">північного борту </w:t>
      </w:r>
      <w:proofErr w:type="spellStart"/>
      <w:r w:rsidRPr="00596C8F">
        <w:rPr>
          <w:szCs w:val="28"/>
        </w:rPr>
        <w:t>Дніпровсько</w:t>
      </w:r>
      <w:proofErr w:type="spellEnd"/>
      <w:r w:rsidRPr="00596C8F">
        <w:rPr>
          <w:szCs w:val="28"/>
        </w:rPr>
        <w:t>-Донецької западини.</w:t>
      </w:r>
      <w:r w:rsidR="00215B6B" w:rsidRPr="00596C8F">
        <w:rPr>
          <w:szCs w:val="28"/>
        </w:rPr>
        <w:t xml:space="preserve"> Петрографічний склад розрізу представлений переважно такими породами, як плагіоклази, гнейси, граніти, кварц-</w:t>
      </w:r>
      <w:proofErr w:type="spellStart"/>
      <w:r w:rsidR="00215B6B" w:rsidRPr="00596C8F">
        <w:rPr>
          <w:szCs w:val="28"/>
        </w:rPr>
        <w:t>епідотитов</w:t>
      </w:r>
      <w:r w:rsidR="00376D7D" w:rsidRPr="00596C8F">
        <w:rPr>
          <w:szCs w:val="28"/>
        </w:rPr>
        <w:t>і</w:t>
      </w:r>
      <w:proofErr w:type="spellEnd"/>
      <w:r w:rsidR="00215B6B" w:rsidRPr="00596C8F">
        <w:rPr>
          <w:szCs w:val="28"/>
        </w:rPr>
        <w:t xml:space="preserve"> </w:t>
      </w:r>
      <w:r w:rsidR="00F10C56" w:rsidRPr="00596C8F">
        <w:rPr>
          <w:szCs w:val="28"/>
        </w:rPr>
        <w:t xml:space="preserve">й </w:t>
      </w:r>
      <w:r w:rsidR="00215B6B" w:rsidRPr="00596C8F">
        <w:rPr>
          <w:szCs w:val="28"/>
        </w:rPr>
        <w:t>хлор</w:t>
      </w:r>
      <w:r w:rsidR="008A17C4" w:rsidRPr="00596C8F">
        <w:rPr>
          <w:szCs w:val="28"/>
        </w:rPr>
        <w:t>и</w:t>
      </w:r>
      <w:r w:rsidR="00215B6B" w:rsidRPr="00596C8F">
        <w:rPr>
          <w:szCs w:val="28"/>
        </w:rPr>
        <w:t>т-</w:t>
      </w:r>
      <w:proofErr w:type="spellStart"/>
      <w:r w:rsidR="00215B6B" w:rsidRPr="00596C8F">
        <w:rPr>
          <w:szCs w:val="28"/>
        </w:rPr>
        <w:t>епідотитов</w:t>
      </w:r>
      <w:r w:rsidR="00376D7D" w:rsidRPr="00596C8F">
        <w:rPr>
          <w:szCs w:val="28"/>
        </w:rPr>
        <w:t>і</w:t>
      </w:r>
      <w:proofErr w:type="spellEnd"/>
      <w:r w:rsidR="00215B6B" w:rsidRPr="00596C8F">
        <w:rPr>
          <w:szCs w:val="28"/>
        </w:rPr>
        <w:t xml:space="preserve"> гнейси </w:t>
      </w:r>
      <w:r w:rsidR="008A17C4" w:rsidRPr="00596C8F">
        <w:rPr>
          <w:szCs w:val="28"/>
        </w:rPr>
        <w:t xml:space="preserve">і </w:t>
      </w:r>
      <w:proofErr w:type="spellStart"/>
      <w:r w:rsidR="008A17C4" w:rsidRPr="00596C8F">
        <w:rPr>
          <w:szCs w:val="28"/>
        </w:rPr>
        <w:t>т.п</w:t>
      </w:r>
      <w:proofErr w:type="spellEnd"/>
      <w:r w:rsidR="008A17C4" w:rsidRPr="00596C8F">
        <w:rPr>
          <w:szCs w:val="28"/>
        </w:rPr>
        <w:t xml:space="preserve">. </w:t>
      </w:r>
      <w:r w:rsidR="00104135" w:rsidRPr="00596C8F">
        <w:rPr>
          <w:szCs w:val="28"/>
        </w:rPr>
        <w:t>[</w:t>
      </w:r>
      <w:r w:rsidR="00AB3B81" w:rsidRPr="00596C8F">
        <w:rPr>
          <w:szCs w:val="28"/>
          <w:lang w:val="ru-RU"/>
        </w:rPr>
        <w:t>2</w:t>
      </w:r>
      <w:r w:rsidR="00F157F8" w:rsidRPr="00596C8F">
        <w:rPr>
          <w:szCs w:val="28"/>
        </w:rPr>
        <w:t>, 4</w:t>
      </w:r>
      <w:r w:rsidR="00104135" w:rsidRPr="00596C8F">
        <w:rPr>
          <w:szCs w:val="28"/>
        </w:rPr>
        <w:t>].</w:t>
      </w:r>
    </w:p>
    <w:p w14:paraId="0E554A24" w14:textId="69B8879A" w:rsidR="00F734A8" w:rsidRPr="00596C8F" w:rsidRDefault="005C6B77" w:rsidP="00297468">
      <w:pPr>
        <w:pStyle w:val="a3"/>
        <w:ind w:firstLine="720"/>
        <w:rPr>
          <w:szCs w:val="28"/>
        </w:rPr>
      </w:pPr>
      <w:r w:rsidRPr="00596C8F">
        <w:rPr>
          <w:szCs w:val="28"/>
        </w:rPr>
        <w:t>У межах</w:t>
      </w:r>
      <w:r w:rsidR="001015AC" w:rsidRPr="00596C8F">
        <w:rPr>
          <w:szCs w:val="28"/>
        </w:rPr>
        <w:t xml:space="preserve"> північного борту </w:t>
      </w:r>
      <w:proofErr w:type="spellStart"/>
      <w:r w:rsidRPr="00596C8F">
        <w:rPr>
          <w:szCs w:val="28"/>
        </w:rPr>
        <w:t>Д</w:t>
      </w:r>
      <w:r w:rsidR="002F672C" w:rsidRPr="00596C8F">
        <w:rPr>
          <w:szCs w:val="28"/>
        </w:rPr>
        <w:t>іпровсько</w:t>
      </w:r>
      <w:proofErr w:type="spellEnd"/>
      <w:r w:rsidR="002F672C" w:rsidRPr="00596C8F">
        <w:rPr>
          <w:szCs w:val="28"/>
        </w:rPr>
        <w:t>-Донецького авлакогену</w:t>
      </w:r>
      <w:r w:rsidRPr="00596C8F">
        <w:rPr>
          <w:szCs w:val="28"/>
        </w:rPr>
        <w:t xml:space="preserve"> наявна </w:t>
      </w:r>
      <w:r w:rsidR="001015AC" w:rsidRPr="00596C8F">
        <w:rPr>
          <w:szCs w:val="28"/>
        </w:rPr>
        <w:t>нафтогазоносність</w:t>
      </w:r>
      <w:r w:rsidR="00F10C56" w:rsidRPr="00596C8F">
        <w:rPr>
          <w:szCs w:val="28"/>
        </w:rPr>
        <w:t xml:space="preserve">, котра приурочена до зон вилуговування та </w:t>
      </w:r>
      <w:proofErr w:type="spellStart"/>
      <w:r w:rsidR="00F10C56" w:rsidRPr="00596C8F">
        <w:rPr>
          <w:szCs w:val="28"/>
        </w:rPr>
        <w:t>розущільнення</w:t>
      </w:r>
      <w:proofErr w:type="spellEnd"/>
      <w:r w:rsidR="001015AC" w:rsidRPr="00596C8F">
        <w:rPr>
          <w:szCs w:val="28"/>
        </w:rPr>
        <w:t xml:space="preserve"> </w:t>
      </w:r>
      <w:r w:rsidR="002F672C" w:rsidRPr="00596C8F">
        <w:rPr>
          <w:szCs w:val="28"/>
        </w:rPr>
        <w:t xml:space="preserve">кристалічних </w:t>
      </w:r>
      <w:r w:rsidR="00F10C56" w:rsidRPr="00596C8F">
        <w:rPr>
          <w:szCs w:val="28"/>
        </w:rPr>
        <w:t xml:space="preserve">порід </w:t>
      </w:r>
      <w:r w:rsidRPr="00596C8F">
        <w:rPr>
          <w:szCs w:val="28"/>
        </w:rPr>
        <w:t>в інтервалі глибин</w:t>
      </w:r>
      <w:r w:rsidR="00D97622" w:rsidRPr="00596C8F">
        <w:rPr>
          <w:szCs w:val="28"/>
        </w:rPr>
        <w:t xml:space="preserve"> від</w:t>
      </w:r>
      <w:r w:rsidRPr="00596C8F">
        <w:rPr>
          <w:szCs w:val="28"/>
        </w:rPr>
        <w:t xml:space="preserve"> </w:t>
      </w:r>
      <w:r w:rsidR="00404AC1" w:rsidRPr="00596C8F">
        <w:rPr>
          <w:szCs w:val="28"/>
        </w:rPr>
        <w:t>680 до 4050</w:t>
      </w:r>
      <w:r w:rsidR="00D97622" w:rsidRPr="00596C8F">
        <w:rPr>
          <w:szCs w:val="28"/>
        </w:rPr>
        <w:t> </w:t>
      </w:r>
      <w:r w:rsidRPr="00596C8F">
        <w:rPr>
          <w:szCs w:val="28"/>
        </w:rPr>
        <w:t xml:space="preserve">м, що відповідає </w:t>
      </w:r>
      <w:r w:rsidR="00A62F5E" w:rsidRPr="00596C8F">
        <w:rPr>
          <w:szCs w:val="28"/>
        </w:rPr>
        <w:t>рівню</w:t>
      </w:r>
      <w:r w:rsidRPr="00596C8F">
        <w:rPr>
          <w:szCs w:val="28"/>
        </w:rPr>
        <w:t xml:space="preserve"> залягання </w:t>
      </w:r>
      <w:r w:rsidR="001015AC" w:rsidRPr="00596C8F">
        <w:rPr>
          <w:szCs w:val="28"/>
        </w:rPr>
        <w:t>кори вивітрювання фундаменту</w:t>
      </w:r>
      <w:r w:rsidRPr="00596C8F">
        <w:rPr>
          <w:szCs w:val="28"/>
        </w:rPr>
        <w:t xml:space="preserve">. Так промислову нафтогазоносність </w:t>
      </w:r>
      <w:r w:rsidR="00C821B2" w:rsidRPr="00596C8F">
        <w:rPr>
          <w:szCs w:val="28"/>
        </w:rPr>
        <w:t xml:space="preserve">розущільнених порід кристалічного фундаменту </w:t>
      </w:r>
      <w:r w:rsidR="00D97622" w:rsidRPr="00596C8F">
        <w:rPr>
          <w:szCs w:val="28"/>
        </w:rPr>
        <w:t>в</w:t>
      </w:r>
      <w:r w:rsidRPr="00596C8F">
        <w:rPr>
          <w:szCs w:val="28"/>
        </w:rPr>
        <w:t xml:space="preserve">становлено </w:t>
      </w:r>
      <w:r w:rsidR="001015AC" w:rsidRPr="00596C8F">
        <w:rPr>
          <w:szCs w:val="28"/>
        </w:rPr>
        <w:t>на</w:t>
      </w:r>
      <w:r w:rsidR="00C821B2" w:rsidRPr="00596C8F">
        <w:rPr>
          <w:szCs w:val="28"/>
        </w:rPr>
        <w:t xml:space="preserve"> родовищах</w:t>
      </w:r>
      <w:r w:rsidR="001015AC" w:rsidRPr="00596C8F">
        <w:rPr>
          <w:szCs w:val="28"/>
        </w:rPr>
        <w:t xml:space="preserve"> </w:t>
      </w:r>
      <w:proofErr w:type="spellStart"/>
      <w:r w:rsidR="00C821B2" w:rsidRPr="00596C8F">
        <w:rPr>
          <w:szCs w:val="28"/>
        </w:rPr>
        <w:t>Юліївському</w:t>
      </w:r>
      <w:proofErr w:type="spellEnd"/>
      <w:r w:rsidR="00C821B2" w:rsidRPr="00596C8F">
        <w:rPr>
          <w:szCs w:val="28"/>
        </w:rPr>
        <w:t xml:space="preserve">, </w:t>
      </w:r>
      <w:proofErr w:type="spellStart"/>
      <w:r w:rsidR="00C821B2" w:rsidRPr="00596C8F">
        <w:rPr>
          <w:szCs w:val="28"/>
        </w:rPr>
        <w:t>Скворцівському</w:t>
      </w:r>
      <w:proofErr w:type="spellEnd"/>
      <w:r w:rsidR="00C821B2" w:rsidRPr="00596C8F">
        <w:rPr>
          <w:szCs w:val="28"/>
        </w:rPr>
        <w:t xml:space="preserve">, </w:t>
      </w:r>
      <w:proofErr w:type="spellStart"/>
      <w:r w:rsidR="001015AC" w:rsidRPr="00596C8F">
        <w:rPr>
          <w:szCs w:val="28"/>
        </w:rPr>
        <w:t>Хухринському</w:t>
      </w:r>
      <w:proofErr w:type="spellEnd"/>
      <w:r w:rsidR="001015AC" w:rsidRPr="00596C8F">
        <w:rPr>
          <w:szCs w:val="28"/>
        </w:rPr>
        <w:t xml:space="preserve">, </w:t>
      </w:r>
      <w:proofErr w:type="spellStart"/>
      <w:r w:rsidR="001015AC" w:rsidRPr="00596C8F">
        <w:rPr>
          <w:szCs w:val="28"/>
        </w:rPr>
        <w:t>Чернеччинському</w:t>
      </w:r>
      <w:proofErr w:type="spellEnd"/>
      <w:r w:rsidR="001015AC" w:rsidRPr="00596C8F">
        <w:rPr>
          <w:szCs w:val="28"/>
        </w:rPr>
        <w:t xml:space="preserve">, Радянському, </w:t>
      </w:r>
      <w:proofErr w:type="spellStart"/>
      <w:r w:rsidR="001015AC" w:rsidRPr="00596C8F">
        <w:rPr>
          <w:szCs w:val="28"/>
        </w:rPr>
        <w:t>Прокопенківському</w:t>
      </w:r>
      <w:proofErr w:type="spellEnd"/>
      <w:r w:rsidR="001015AC" w:rsidRPr="00596C8F">
        <w:rPr>
          <w:szCs w:val="28"/>
        </w:rPr>
        <w:t xml:space="preserve">, </w:t>
      </w:r>
      <w:proofErr w:type="spellStart"/>
      <w:r w:rsidR="001015AC" w:rsidRPr="00596C8F">
        <w:rPr>
          <w:szCs w:val="28"/>
        </w:rPr>
        <w:t>Огульцівському</w:t>
      </w:r>
      <w:proofErr w:type="spellEnd"/>
      <w:r w:rsidR="00F10C56" w:rsidRPr="00596C8F">
        <w:rPr>
          <w:szCs w:val="28"/>
        </w:rPr>
        <w:t>.</w:t>
      </w:r>
      <w:r w:rsidR="0061677E" w:rsidRPr="00596C8F">
        <w:rPr>
          <w:szCs w:val="28"/>
        </w:rPr>
        <w:t xml:space="preserve"> </w:t>
      </w:r>
    </w:p>
    <w:p w14:paraId="1036DBBE" w14:textId="322AF268" w:rsidR="00F734A8" w:rsidRPr="00596C8F" w:rsidRDefault="00A52C21" w:rsidP="00297468">
      <w:pPr>
        <w:pStyle w:val="a3"/>
        <w:ind w:firstLine="720"/>
        <w:rPr>
          <w:szCs w:val="28"/>
        </w:rPr>
      </w:pPr>
      <w:r w:rsidRPr="00596C8F">
        <w:rPr>
          <w:szCs w:val="28"/>
        </w:rPr>
        <w:t>Наприклад</w:t>
      </w:r>
      <w:r w:rsidR="00141EBD" w:rsidRPr="00596C8F">
        <w:rPr>
          <w:szCs w:val="28"/>
        </w:rPr>
        <w:t>,</w:t>
      </w:r>
      <w:r w:rsidRPr="00596C8F">
        <w:rPr>
          <w:szCs w:val="28"/>
        </w:rPr>
        <w:t xml:space="preserve"> на </w:t>
      </w:r>
      <w:proofErr w:type="spellStart"/>
      <w:r w:rsidRPr="00596C8F">
        <w:rPr>
          <w:szCs w:val="28"/>
        </w:rPr>
        <w:t>Юліївському</w:t>
      </w:r>
      <w:proofErr w:type="spellEnd"/>
      <w:r w:rsidRPr="00596C8F">
        <w:rPr>
          <w:szCs w:val="28"/>
        </w:rPr>
        <w:t xml:space="preserve"> родовищі з порід фундаменту в інтервалі глибин 3468-3927 м </w:t>
      </w:r>
      <w:r w:rsidR="00887501" w:rsidRPr="00596C8F">
        <w:rPr>
          <w:szCs w:val="28"/>
        </w:rPr>
        <w:t>і н</w:t>
      </w:r>
      <w:r w:rsidRPr="00596C8F">
        <w:rPr>
          <w:szCs w:val="28"/>
        </w:rPr>
        <w:t xml:space="preserve">а родовищі </w:t>
      </w:r>
      <w:proofErr w:type="spellStart"/>
      <w:r w:rsidRPr="00596C8F">
        <w:rPr>
          <w:szCs w:val="28"/>
        </w:rPr>
        <w:t>Огульцівському</w:t>
      </w:r>
      <w:proofErr w:type="spellEnd"/>
      <w:r w:rsidR="00887501" w:rsidRPr="00596C8F">
        <w:rPr>
          <w:szCs w:val="28"/>
        </w:rPr>
        <w:t xml:space="preserve"> з дещо більших глибин залягання продуктивного розрізу (4020-4041 м) при випробовуванні отримано притоки газу та конденсату</w:t>
      </w:r>
      <w:r w:rsidR="00B550F4" w:rsidRPr="00596C8F">
        <w:rPr>
          <w:szCs w:val="28"/>
        </w:rPr>
        <w:t xml:space="preserve"> [1], дані наведено у т</w:t>
      </w:r>
      <w:r w:rsidR="00887501" w:rsidRPr="00596C8F">
        <w:rPr>
          <w:szCs w:val="28"/>
        </w:rPr>
        <w:t>аблиц</w:t>
      </w:r>
      <w:r w:rsidR="00B550F4" w:rsidRPr="00596C8F">
        <w:rPr>
          <w:szCs w:val="28"/>
        </w:rPr>
        <w:t>і</w:t>
      </w:r>
      <w:r w:rsidR="00887501" w:rsidRPr="00596C8F">
        <w:rPr>
          <w:szCs w:val="28"/>
        </w:rPr>
        <w:t xml:space="preserve"> 1.</w:t>
      </w:r>
    </w:p>
    <w:p w14:paraId="5FE1EA34" w14:textId="73BAA7FD" w:rsidR="00BB2A71" w:rsidRPr="00596C8F" w:rsidRDefault="00BB2A71" w:rsidP="00297468">
      <w:pPr>
        <w:pStyle w:val="a3"/>
        <w:ind w:firstLine="720"/>
        <w:jc w:val="left"/>
        <w:rPr>
          <w:szCs w:val="28"/>
        </w:rPr>
      </w:pPr>
    </w:p>
    <w:p w14:paraId="5ACB806E" w14:textId="77777777" w:rsidR="00297468" w:rsidRPr="00596C8F" w:rsidRDefault="00297468" w:rsidP="00297468">
      <w:pPr>
        <w:pStyle w:val="a3"/>
        <w:ind w:firstLine="720"/>
        <w:jc w:val="left"/>
        <w:rPr>
          <w:szCs w:val="28"/>
        </w:rPr>
      </w:pPr>
    </w:p>
    <w:tbl>
      <w:tblPr>
        <w:tblStyle w:val="a5"/>
        <w:tblpPr w:leftFromText="180" w:rightFromText="180" w:vertAnchor="page" w:horzAnchor="margin" w:tblpY="2404"/>
        <w:tblW w:w="9067" w:type="dxa"/>
        <w:tblLayout w:type="fixed"/>
        <w:tblLook w:val="04A0" w:firstRow="1" w:lastRow="0" w:firstColumn="1" w:lastColumn="0" w:noHBand="0" w:noVBand="1"/>
      </w:tblPr>
      <w:tblGrid>
        <w:gridCol w:w="1585"/>
        <w:gridCol w:w="496"/>
        <w:gridCol w:w="1316"/>
        <w:gridCol w:w="1210"/>
        <w:gridCol w:w="992"/>
        <w:gridCol w:w="1387"/>
        <w:gridCol w:w="2081"/>
      </w:tblGrid>
      <w:tr w:rsidR="00596C8F" w:rsidRPr="00596C8F" w14:paraId="035EAEEC" w14:textId="77777777" w:rsidTr="0043579A">
        <w:trPr>
          <w:cantSplit/>
          <w:trHeight w:val="1973"/>
        </w:trPr>
        <w:tc>
          <w:tcPr>
            <w:tcW w:w="1585" w:type="dxa"/>
            <w:vAlign w:val="center"/>
          </w:tcPr>
          <w:p w14:paraId="358DCEBC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Родовище</w:t>
            </w:r>
          </w:p>
        </w:tc>
        <w:tc>
          <w:tcPr>
            <w:tcW w:w="496" w:type="dxa"/>
            <w:vAlign w:val="center"/>
          </w:tcPr>
          <w:p w14:paraId="1C40D000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6" w:type="dxa"/>
            <w:textDirection w:val="btLr"/>
            <w:vAlign w:val="center"/>
          </w:tcPr>
          <w:p w14:paraId="7D785156" w14:textId="77777777" w:rsidR="0043579A" w:rsidRPr="00596C8F" w:rsidRDefault="0043579A" w:rsidP="004357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Інтервал випробовування, м</w:t>
            </w:r>
          </w:p>
        </w:tc>
        <w:tc>
          <w:tcPr>
            <w:tcW w:w="1210" w:type="dxa"/>
            <w:textDirection w:val="btLr"/>
            <w:vAlign w:val="center"/>
          </w:tcPr>
          <w:p w14:paraId="0BD53912" w14:textId="77777777" w:rsidR="0043579A" w:rsidRPr="00596C8F" w:rsidRDefault="0043579A" w:rsidP="004357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 xml:space="preserve">Глибина від рівня </w:t>
            </w: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кровлі</w:t>
            </w:r>
            <w:proofErr w:type="spellEnd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фундаменту, м</w:t>
            </w:r>
          </w:p>
        </w:tc>
        <w:tc>
          <w:tcPr>
            <w:tcW w:w="992" w:type="dxa"/>
            <w:textDirection w:val="btLr"/>
            <w:vAlign w:val="center"/>
          </w:tcPr>
          <w:p w14:paraId="0DFB1F84" w14:textId="77777777" w:rsidR="0043579A" w:rsidRPr="00596C8F" w:rsidRDefault="0043579A" w:rsidP="004357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Пластовий тиск, МПа</w:t>
            </w:r>
          </w:p>
        </w:tc>
        <w:tc>
          <w:tcPr>
            <w:tcW w:w="1387" w:type="dxa"/>
            <w:vAlign w:val="center"/>
          </w:tcPr>
          <w:p w14:paraId="75F4B25D" w14:textId="706AF07B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Отриманий дебіт, м</w:t>
            </w:r>
            <w:r w:rsidRPr="00596C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/доб</w:t>
            </w:r>
            <w:r w:rsidR="00DD52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081" w:type="dxa"/>
            <w:vAlign w:val="center"/>
          </w:tcPr>
          <w:p w14:paraId="476B8874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Отриманий флюїд</w:t>
            </w:r>
          </w:p>
        </w:tc>
      </w:tr>
      <w:tr w:rsidR="00596C8F" w:rsidRPr="00596C8F" w14:paraId="406E4A5F" w14:textId="77777777" w:rsidTr="0043579A">
        <w:trPr>
          <w:trHeight w:val="388"/>
        </w:trPr>
        <w:tc>
          <w:tcPr>
            <w:tcW w:w="1585" w:type="dxa"/>
          </w:tcPr>
          <w:p w14:paraId="626952F9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Юліївське</w:t>
            </w:r>
            <w:proofErr w:type="spellEnd"/>
          </w:p>
        </w:tc>
        <w:tc>
          <w:tcPr>
            <w:tcW w:w="496" w:type="dxa"/>
          </w:tcPr>
          <w:p w14:paraId="7DA0FFFB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6" w:type="dxa"/>
          </w:tcPr>
          <w:p w14:paraId="2489451C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3896-3927</w:t>
            </w:r>
          </w:p>
        </w:tc>
        <w:tc>
          <w:tcPr>
            <w:tcW w:w="1210" w:type="dxa"/>
          </w:tcPr>
          <w:p w14:paraId="412CFFA4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344м</w:t>
            </w:r>
          </w:p>
        </w:tc>
        <w:tc>
          <w:tcPr>
            <w:tcW w:w="992" w:type="dxa"/>
          </w:tcPr>
          <w:p w14:paraId="76580074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14:paraId="29166617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081" w:type="dxa"/>
          </w:tcPr>
          <w:p w14:paraId="5B57553F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596C8F" w:rsidRPr="00596C8F" w14:paraId="0E4E57B7" w14:textId="77777777" w:rsidTr="0043579A">
        <w:trPr>
          <w:trHeight w:val="92"/>
        </w:trPr>
        <w:tc>
          <w:tcPr>
            <w:tcW w:w="1585" w:type="dxa"/>
            <w:vMerge w:val="restart"/>
          </w:tcPr>
          <w:p w14:paraId="6227FB59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Юліївське</w:t>
            </w:r>
            <w:proofErr w:type="spellEnd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" w:type="dxa"/>
            <w:vMerge w:val="restart"/>
          </w:tcPr>
          <w:p w14:paraId="32E2613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vMerge w:val="restart"/>
          </w:tcPr>
          <w:p w14:paraId="31B7892A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3636-3735</w:t>
            </w:r>
          </w:p>
        </w:tc>
        <w:tc>
          <w:tcPr>
            <w:tcW w:w="1210" w:type="dxa"/>
            <w:vMerge w:val="restart"/>
          </w:tcPr>
          <w:p w14:paraId="6915ED77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</w:tcPr>
          <w:p w14:paraId="0943ECF0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37,76</w:t>
            </w:r>
          </w:p>
        </w:tc>
        <w:tc>
          <w:tcPr>
            <w:tcW w:w="1387" w:type="dxa"/>
          </w:tcPr>
          <w:p w14:paraId="0DE56C96" w14:textId="06782511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55,3 тис</w:t>
            </w:r>
            <w:r w:rsidR="00DD5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</w:tcPr>
          <w:p w14:paraId="35836F37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596C8F" w:rsidRPr="00596C8F" w14:paraId="7EAFE981" w14:textId="77777777" w:rsidTr="0043579A">
        <w:trPr>
          <w:trHeight w:val="298"/>
        </w:trPr>
        <w:tc>
          <w:tcPr>
            <w:tcW w:w="1585" w:type="dxa"/>
            <w:vMerge/>
          </w:tcPr>
          <w:p w14:paraId="6E87CCF0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14:paraId="6ACDFBA3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7B3B7E25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34633ADE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D62000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A969988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081" w:type="dxa"/>
          </w:tcPr>
          <w:p w14:paraId="7E8CE81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Конденсат</w:t>
            </w:r>
          </w:p>
        </w:tc>
      </w:tr>
      <w:tr w:rsidR="00596C8F" w:rsidRPr="00596C8F" w14:paraId="2703BD7F" w14:textId="77777777" w:rsidTr="0043579A">
        <w:trPr>
          <w:trHeight w:val="556"/>
        </w:trPr>
        <w:tc>
          <w:tcPr>
            <w:tcW w:w="1585" w:type="dxa"/>
          </w:tcPr>
          <w:p w14:paraId="3D9DFA84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Юліївське</w:t>
            </w:r>
            <w:proofErr w:type="spellEnd"/>
          </w:p>
        </w:tc>
        <w:tc>
          <w:tcPr>
            <w:tcW w:w="496" w:type="dxa"/>
          </w:tcPr>
          <w:p w14:paraId="70A06F25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6" w:type="dxa"/>
          </w:tcPr>
          <w:p w14:paraId="55D4CC6F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до 760</w:t>
            </w:r>
          </w:p>
        </w:tc>
        <w:tc>
          <w:tcPr>
            <w:tcW w:w="1210" w:type="dxa"/>
          </w:tcPr>
          <w:p w14:paraId="5FB3B10A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992" w:type="dxa"/>
          </w:tcPr>
          <w:p w14:paraId="0B9BA9FF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14:paraId="6DD55B8C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081" w:type="dxa"/>
          </w:tcPr>
          <w:p w14:paraId="2D2607BE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Газоконденсатна суміш</w:t>
            </w:r>
          </w:p>
        </w:tc>
      </w:tr>
      <w:tr w:rsidR="00596C8F" w:rsidRPr="00596C8F" w14:paraId="02BCFBC1" w14:textId="77777777" w:rsidTr="0043579A">
        <w:trPr>
          <w:trHeight w:val="208"/>
        </w:trPr>
        <w:tc>
          <w:tcPr>
            <w:tcW w:w="1585" w:type="dxa"/>
            <w:vMerge w:val="restart"/>
          </w:tcPr>
          <w:p w14:paraId="558970D3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Юліївське</w:t>
            </w:r>
            <w:proofErr w:type="spellEnd"/>
          </w:p>
        </w:tc>
        <w:tc>
          <w:tcPr>
            <w:tcW w:w="496" w:type="dxa"/>
            <w:vMerge w:val="restart"/>
          </w:tcPr>
          <w:p w14:paraId="14BA37A1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vMerge w:val="restart"/>
          </w:tcPr>
          <w:p w14:paraId="46F4E15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3513-3521</w:t>
            </w:r>
          </w:p>
        </w:tc>
        <w:tc>
          <w:tcPr>
            <w:tcW w:w="1210" w:type="dxa"/>
            <w:vMerge w:val="restart"/>
          </w:tcPr>
          <w:p w14:paraId="3B74EBB8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0F83BF06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36,85</w:t>
            </w:r>
          </w:p>
        </w:tc>
        <w:tc>
          <w:tcPr>
            <w:tcW w:w="1387" w:type="dxa"/>
          </w:tcPr>
          <w:p w14:paraId="4C44001A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169,0 тис.</w:t>
            </w:r>
          </w:p>
        </w:tc>
        <w:tc>
          <w:tcPr>
            <w:tcW w:w="2081" w:type="dxa"/>
          </w:tcPr>
          <w:p w14:paraId="67C4C4C1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596C8F" w:rsidRPr="00596C8F" w14:paraId="26F59E4E" w14:textId="77777777" w:rsidTr="0043579A">
        <w:trPr>
          <w:trHeight w:val="333"/>
        </w:trPr>
        <w:tc>
          <w:tcPr>
            <w:tcW w:w="1585" w:type="dxa"/>
            <w:vMerge/>
          </w:tcPr>
          <w:p w14:paraId="2712D436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14:paraId="1863DED5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4A68593C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2034340E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BDCE16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597E308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081" w:type="dxa"/>
          </w:tcPr>
          <w:p w14:paraId="6EED76DB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Конденсат</w:t>
            </w:r>
          </w:p>
        </w:tc>
      </w:tr>
      <w:tr w:rsidR="00596C8F" w:rsidRPr="00596C8F" w14:paraId="5C3DC8C1" w14:textId="77777777" w:rsidTr="0043579A">
        <w:trPr>
          <w:trHeight w:val="254"/>
        </w:trPr>
        <w:tc>
          <w:tcPr>
            <w:tcW w:w="1585" w:type="dxa"/>
            <w:vMerge w:val="restart"/>
          </w:tcPr>
          <w:p w14:paraId="37C6DBCC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Юліївське</w:t>
            </w:r>
            <w:proofErr w:type="spellEnd"/>
          </w:p>
        </w:tc>
        <w:tc>
          <w:tcPr>
            <w:tcW w:w="496" w:type="dxa"/>
            <w:vMerge w:val="restart"/>
          </w:tcPr>
          <w:p w14:paraId="62EAE33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vMerge w:val="restart"/>
          </w:tcPr>
          <w:p w14:paraId="681AD6F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3468-3486</w:t>
            </w:r>
          </w:p>
        </w:tc>
        <w:tc>
          <w:tcPr>
            <w:tcW w:w="1210" w:type="dxa"/>
            <w:vMerge w:val="restart"/>
          </w:tcPr>
          <w:p w14:paraId="68B4DD53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7D9BAA11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36,61</w:t>
            </w:r>
          </w:p>
        </w:tc>
        <w:tc>
          <w:tcPr>
            <w:tcW w:w="1387" w:type="dxa"/>
          </w:tcPr>
          <w:p w14:paraId="57D8441D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277 тис.</w:t>
            </w:r>
          </w:p>
        </w:tc>
        <w:tc>
          <w:tcPr>
            <w:tcW w:w="2081" w:type="dxa"/>
          </w:tcPr>
          <w:p w14:paraId="1EB9E2C8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596C8F" w:rsidRPr="00596C8F" w14:paraId="6B375219" w14:textId="77777777" w:rsidTr="0043579A">
        <w:trPr>
          <w:trHeight w:val="283"/>
        </w:trPr>
        <w:tc>
          <w:tcPr>
            <w:tcW w:w="1585" w:type="dxa"/>
            <w:vMerge/>
          </w:tcPr>
          <w:p w14:paraId="494B737F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14:paraId="6E9AB1BD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3FA1A15D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36B8307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3276014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89DB0DD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081" w:type="dxa"/>
          </w:tcPr>
          <w:p w14:paraId="4496E0B5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Конденсат</w:t>
            </w:r>
          </w:p>
        </w:tc>
      </w:tr>
      <w:tr w:rsidR="00596C8F" w:rsidRPr="00596C8F" w14:paraId="0F2A2503" w14:textId="77777777" w:rsidTr="0043579A">
        <w:trPr>
          <w:trHeight w:val="258"/>
        </w:trPr>
        <w:tc>
          <w:tcPr>
            <w:tcW w:w="1585" w:type="dxa"/>
            <w:vMerge w:val="restart"/>
          </w:tcPr>
          <w:p w14:paraId="44557AD3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Огульцівське</w:t>
            </w:r>
            <w:proofErr w:type="spellEnd"/>
          </w:p>
        </w:tc>
        <w:tc>
          <w:tcPr>
            <w:tcW w:w="496" w:type="dxa"/>
            <w:vMerge w:val="restart"/>
          </w:tcPr>
          <w:p w14:paraId="1E55C04E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6" w:type="dxa"/>
            <w:vMerge w:val="restart"/>
          </w:tcPr>
          <w:p w14:paraId="5ABF2708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4020-4041</w:t>
            </w:r>
          </w:p>
        </w:tc>
        <w:tc>
          <w:tcPr>
            <w:tcW w:w="1210" w:type="dxa"/>
            <w:vMerge w:val="restart"/>
          </w:tcPr>
          <w:p w14:paraId="72494EAC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015C047D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1387" w:type="dxa"/>
          </w:tcPr>
          <w:p w14:paraId="4224E762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214,1 тис.</w:t>
            </w:r>
          </w:p>
        </w:tc>
        <w:tc>
          <w:tcPr>
            <w:tcW w:w="2081" w:type="dxa"/>
          </w:tcPr>
          <w:p w14:paraId="1CCD6861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596C8F" w:rsidRPr="00596C8F" w14:paraId="4310A6C9" w14:textId="77777777" w:rsidTr="0043579A">
        <w:trPr>
          <w:trHeight w:val="283"/>
        </w:trPr>
        <w:tc>
          <w:tcPr>
            <w:tcW w:w="1585" w:type="dxa"/>
            <w:vMerge/>
          </w:tcPr>
          <w:p w14:paraId="5EDA9A69" w14:textId="77777777" w:rsidR="0043579A" w:rsidRPr="00596C8F" w:rsidRDefault="0043579A" w:rsidP="0043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14:paraId="0362A270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79FE5290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2CB26124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2455B3F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9CA706E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2081" w:type="dxa"/>
          </w:tcPr>
          <w:p w14:paraId="7647FF0E" w14:textId="77777777" w:rsidR="0043579A" w:rsidRPr="00596C8F" w:rsidRDefault="0043579A" w:rsidP="00435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C8F">
              <w:rPr>
                <w:rFonts w:ascii="Times New Roman" w:hAnsi="Times New Roman" w:cs="Times New Roman"/>
                <w:sz w:val="24"/>
                <w:szCs w:val="24"/>
              </w:rPr>
              <w:t>Конденсат</w:t>
            </w:r>
          </w:p>
        </w:tc>
      </w:tr>
    </w:tbl>
    <w:p w14:paraId="0F730FA3" w14:textId="3F77F294" w:rsidR="00F4402C" w:rsidRPr="00596C8F" w:rsidRDefault="00F734A8" w:rsidP="00CF5C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C8F">
        <w:rPr>
          <w:rFonts w:ascii="Times New Roman" w:hAnsi="Times New Roman" w:cs="Times New Roman"/>
          <w:b/>
          <w:bCs/>
          <w:sz w:val="24"/>
          <w:szCs w:val="24"/>
        </w:rPr>
        <w:t>Таблиця</w:t>
      </w:r>
      <w:r w:rsidR="00DD52F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96C8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21CF1" w:rsidRPr="0059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79A" w:rsidRPr="00596C8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Результати розкриття порід фундаменту на </w:t>
      </w:r>
      <w:proofErr w:type="spellStart"/>
      <w:r w:rsidR="0043579A" w:rsidRPr="00596C8F">
        <w:rPr>
          <w:rFonts w:ascii="Times New Roman" w:hAnsi="Times New Roman" w:cs="Times New Roman"/>
          <w:b/>
          <w:bCs/>
          <w:sz w:val="24"/>
          <w:szCs w:val="24"/>
        </w:rPr>
        <w:t>Юліївському</w:t>
      </w:r>
      <w:proofErr w:type="spellEnd"/>
      <w:r w:rsidR="0043579A" w:rsidRPr="00596C8F">
        <w:rPr>
          <w:rFonts w:ascii="Times New Roman" w:hAnsi="Times New Roman" w:cs="Times New Roman"/>
          <w:b/>
          <w:bCs/>
          <w:sz w:val="24"/>
          <w:szCs w:val="24"/>
        </w:rPr>
        <w:t xml:space="preserve"> й </w:t>
      </w:r>
      <w:proofErr w:type="spellStart"/>
      <w:r w:rsidR="0043579A" w:rsidRPr="00596C8F">
        <w:rPr>
          <w:rFonts w:ascii="Times New Roman" w:hAnsi="Times New Roman" w:cs="Times New Roman"/>
          <w:b/>
          <w:bCs/>
          <w:sz w:val="24"/>
          <w:szCs w:val="24"/>
        </w:rPr>
        <w:t>Огуль</w:t>
      </w:r>
      <w:r w:rsidR="00DD52F3">
        <w:rPr>
          <w:rFonts w:ascii="Times New Roman" w:hAnsi="Times New Roman" w:cs="Times New Roman"/>
          <w:b/>
          <w:bCs/>
          <w:sz w:val="24"/>
          <w:szCs w:val="24"/>
        </w:rPr>
        <w:t>ців</w:t>
      </w:r>
      <w:r w:rsidR="0043579A" w:rsidRPr="00596C8F">
        <w:rPr>
          <w:rFonts w:ascii="Times New Roman" w:hAnsi="Times New Roman" w:cs="Times New Roman"/>
          <w:b/>
          <w:bCs/>
          <w:sz w:val="24"/>
          <w:szCs w:val="24"/>
        </w:rPr>
        <w:t>ському</w:t>
      </w:r>
      <w:proofErr w:type="spellEnd"/>
      <w:r w:rsidR="0043579A" w:rsidRPr="00596C8F">
        <w:rPr>
          <w:rFonts w:ascii="Times New Roman" w:hAnsi="Times New Roman" w:cs="Times New Roman"/>
          <w:b/>
          <w:bCs/>
          <w:sz w:val="24"/>
          <w:szCs w:val="24"/>
        </w:rPr>
        <w:t xml:space="preserve"> родовищах</w:t>
      </w:r>
    </w:p>
    <w:p w14:paraId="718BD4BB" w14:textId="54A3082A" w:rsidR="00297468" w:rsidRPr="00596C8F" w:rsidRDefault="00297468" w:rsidP="00141E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AE3B46" w14:textId="7C45A5C7" w:rsidR="00141EBD" w:rsidRPr="00596C8F" w:rsidRDefault="00141EBD" w:rsidP="00435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C8F">
        <w:rPr>
          <w:rFonts w:ascii="Times New Roman" w:hAnsi="Times New Roman" w:cs="Times New Roman"/>
          <w:sz w:val="28"/>
          <w:szCs w:val="28"/>
        </w:rPr>
        <w:t xml:space="preserve">Буріння та випробовування продуктивної товщі розущільнених порід фундаменту північного борту ДДЗ на </w:t>
      </w:r>
      <w:proofErr w:type="spellStart"/>
      <w:r w:rsidRPr="00596C8F">
        <w:rPr>
          <w:rFonts w:ascii="Times New Roman" w:hAnsi="Times New Roman" w:cs="Times New Roman"/>
          <w:sz w:val="28"/>
          <w:szCs w:val="28"/>
        </w:rPr>
        <w:t>Юліївському</w:t>
      </w:r>
      <w:proofErr w:type="spellEnd"/>
      <w:r w:rsidRPr="00596C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6C8F">
        <w:rPr>
          <w:rFonts w:ascii="Times New Roman" w:hAnsi="Times New Roman" w:cs="Times New Roman"/>
          <w:sz w:val="28"/>
          <w:szCs w:val="28"/>
        </w:rPr>
        <w:t>Огульцівському</w:t>
      </w:r>
      <w:proofErr w:type="spellEnd"/>
      <w:r w:rsidRPr="00596C8F">
        <w:rPr>
          <w:rFonts w:ascii="Times New Roman" w:hAnsi="Times New Roman" w:cs="Times New Roman"/>
          <w:sz w:val="28"/>
          <w:szCs w:val="28"/>
        </w:rPr>
        <w:t xml:space="preserve"> родовищах підтверджує існування вуглеводневих покладів у межах кристалічних масивів. Отже</w:t>
      </w:r>
      <w:r w:rsidR="002207CC" w:rsidRPr="002207CC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Pr="00596C8F">
        <w:rPr>
          <w:rFonts w:ascii="Times New Roman" w:hAnsi="Times New Roman" w:cs="Times New Roman"/>
          <w:sz w:val="28"/>
          <w:szCs w:val="28"/>
        </w:rPr>
        <w:t xml:space="preserve"> можна зробити висновок про перспективи </w:t>
      </w:r>
      <w:r w:rsidR="0099685B">
        <w:rPr>
          <w:rFonts w:ascii="Times New Roman" w:hAnsi="Times New Roman" w:cs="Times New Roman"/>
          <w:sz w:val="28"/>
          <w:szCs w:val="28"/>
        </w:rPr>
        <w:t xml:space="preserve">детального </w:t>
      </w:r>
      <w:r w:rsidRPr="00596C8F">
        <w:rPr>
          <w:rFonts w:ascii="Times New Roman" w:hAnsi="Times New Roman" w:cs="Times New Roman"/>
          <w:sz w:val="28"/>
          <w:szCs w:val="28"/>
        </w:rPr>
        <w:t>вивчення кристалічних порід фундаменту з метою пошуків покладів газу чи газоконденсату в докембрійських утвореннях</w:t>
      </w:r>
      <w:r w:rsidR="000505DF">
        <w:rPr>
          <w:rFonts w:ascii="Times New Roman" w:hAnsi="Times New Roman" w:cs="Times New Roman"/>
          <w:sz w:val="28"/>
          <w:szCs w:val="28"/>
        </w:rPr>
        <w:t xml:space="preserve"> і в межах інших територій</w:t>
      </w:r>
      <w:r w:rsidRPr="00596C8F">
        <w:rPr>
          <w:rFonts w:ascii="Times New Roman" w:hAnsi="Times New Roman" w:cs="Times New Roman"/>
          <w:sz w:val="28"/>
          <w:szCs w:val="28"/>
        </w:rPr>
        <w:t>.</w:t>
      </w:r>
    </w:p>
    <w:p w14:paraId="0D7D157E" w14:textId="77777777" w:rsidR="00141EBD" w:rsidRPr="00596C8F" w:rsidRDefault="00141EBD" w:rsidP="00141E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7D818B" w14:textId="7363D7EA" w:rsidR="002A771A" w:rsidRPr="00596C8F" w:rsidRDefault="00297468" w:rsidP="002A77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6C8F">
        <w:rPr>
          <w:rFonts w:ascii="Times New Roman" w:hAnsi="Times New Roman" w:cs="Times New Roman"/>
          <w:i/>
          <w:sz w:val="24"/>
          <w:szCs w:val="24"/>
        </w:rPr>
        <w:t>Література</w:t>
      </w:r>
    </w:p>
    <w:p w14:paraId="75F1C483" w14:textId="4F52A4A6" w:rsidR="00C21CF1" w:rsidRPr="00596C8F" w:rsidRDefault="00F55A6B" w:rsidP="00372E5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C8F">
        <w:rPr>
          <w:rFonts w:ascii="Times New Roman" w:hAnsi="Times New Roman" w:cs="Times New Roman"/>
          <w:i/>
          <w:sz w:val="24"/>
          <w:szCs w:val="24"/>
        </w:rPr>
        <w:t xml:space="preserve">Атлас родовищ нафти і газу України: у 6 т. / ред. рада: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Арсірій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> Ю. О. та ін. Українська нафтогазова академія. Львів, 1998. Т. 1. 1424 с.</w:t>
      </w:r>
    </w:p>
    <w:p w14:paraId="2673CA8A" w14:textId="24F4711F" w:rsidR="00C30704" w:rsidRPr="00596C8F" w:rsidRDefault="00C30704" w:rsidP="00093B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C8F">
        <w:rPr>
          <w:rFonts w:ascii="Times New Roman" w:hAnsi="Times New Roman" w:cs="Times New Roman"/>
          <w:i/>
          <w:sz w:val="24"/>
          <w:szCs w:val="24"/>
        </w:rPr>
        <w:t>Вакарчук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С.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 xml:space="preserve">Г.,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Довжок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Т.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 xml:space="preserve">Є.,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Філюшкін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К.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 xml:space="preserve">К.,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Кабишев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Ю.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Б. та ін. Нетрадиційні джерела вуглеводнів України. Книга VI. Перспективи освоєння ресурсів газу ущільнених порід у Східному нафтогазоносному регіоні України / наук. ред. О.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Ю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. 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Лукін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>, Д.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С.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Гурський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>. Київ: ТОВ «ВТС ПРИНТ», 2014. 208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с.</w:t>
      </w:r>
    </w:p>
    <w:p w14:paraId="0E9B5EF4" w14:textId="77777777" w:rsidR="00AF5F40" w:rsidRPr="00596C8F" w:rsidRDefault="00AB3B81" w:rsidP="00AF5F4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596C8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Від вогню та води до електрики /</w:t>
      </w:r>
      <w:r w:rsidRPr="00596C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96C8F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Бондаренко В.І., </w:t>
      </w:r>
      <w:proofErr w:type="spellStart"/>
      <w:r w:rsidRPr="00596C8F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Варламов</w:t>
      </w:r>
      <w:proofErr w:type="spellEnd"/>
      <w:r w:rsidRPr="00596C8F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Г.Б., </w:t>
      </w:r>
      <w:proofErr w:type="spellStart"/>
      <w:r w:rsidRPr="00596C8F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Вольчин</w:t>
      </w:r>
      <w:proofErr w:type="spellEnd"/>
      <w:r w:rsidRPr="00596C8F">
        <w:rPr>
          <w:rStyle w:val="a7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І.А., Карп І.М. та ін. </w:t>
      </w:r>
      <w:r w:rsidRPr="00596C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Енергетика: історія, сучасність і майбутнє. 2013.</w:t>
      </w:r>
    </w:p>
    <w:p w14:paraId="45FB911E" w14:textId="35CCD886" w:rsidR="00AB3B81" w:rsidRPr="00596C8F" w:rsidRDefault="00AB3B81" w:rsidP="00AF5F40">
      <w:pPr>
        <w:pStyle w:val="a6"/>
        <w:shd w:val="clear" w:color="auto" w:fill="FFFFFF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596C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URL</w:t>
      </w:r>
      <w:r w:rsidRPr="00596C8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:</w:t>
      </w:r>
      <w:proofErr w:type="spellStart"/>
      <w:r w:rsidRPr="00596C8F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596C8F">
        <w:rPr>
          <w:rFonts w:ascii="Times New Roman" w:hAnsi="Times New Roman" w:cs="Times New Roman"/>
          <w:i/>
          <w:iCs/>
          <w:sz w:val="24"/>
          <w:szCs w:val="24"/>
        </w:rPr>
        <w:instrText xml:space="preserve"> HYPERLINK "http://energetika.in.ua/ua/books/book-1/part-2/section-8/8-1" </w:instrText>
      </w:r>
      <w:r w:rsidRPr="00596C8F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596C8F">
        <w:rPr>
          <w:rStyle w:val="a8"/>
          <w:rFonts w:ascii="Times New Roman" w:hAnsi="Times New Roman" w:cs="Times New Roman"/>
          <w:i/>
          <w:iCs/>
          <w:color w:val="auto"/>
          <w:sz w:val="24"/>
          <w:szCs w:val="24"/>
        </w:rPr>
        <w:t>http</w:t>
      </w:r>
      <w:proofErr w:type="spellEnd"/>
      <w:r w:rsidRPr="00596C8F">
        <w:rPr>
          <w:rStyle w:val="a8"/>
          <w:rFonts w:ascii="Times New Roman" w:hAnsi="Times New Roman" w:cs="Times New Roman"/>
          <w:i/>
          <w:iCs/>
          <w:color w:val="auto"/>
          <w:sz w:val="24"/>
          <w:szCs w:val="24"/>
        </w:rPr>
        <w:t>://energetika.in.ua/</w:t>
      </w:r>
      <w:proofErr w:type="spellStart"/>
      <w:r w:rsidRPr="00596C8F">
        <w:rPr>
          <w:rStyle w:val="a8"/>
          <w:rFonts w:ascii="Times New Roman" w:hAnsi="Times New Roman" w:cs="Times New Roman"/>
          <w:i/>
          <w:iCs/>
          <w:color w:val="auto"/>
          <w:sz w:val="24"/>
          <w:szCs w:val="24"/>
        </w:rPr>
        <w:t>ua</w:t>
      </w:r>
      <w:proofErr w:type="spellEnd"/>
      <w:r w:rsidRPr="00596C8F">
        <w:rPr>
          <w:rStyle w:val="a8"/>
          <w:rFonts w:ascii="Times New Roman" w:hAnsi="Times New Roman" w:cs="Times New Roman"/>
          <w:i/>
          <w:iCs/>
          <w:color w:val="auto"/>
          <w:sz w:val="24"/>
          <w:szCs w:val="24"/>
        </w:rPr>
        <w:t>/</w:t>
      </w:r>
      <w:proofErr w:type="spellStart"/>
      <w:r w:rsidRPr="00596C8F">
        <w:rPr>
          <w:rStyle w:val="a8"/>
          <w:rFonts w:ascii="Times New Roman" w:hAnsi="Times New Roman" w:cs="Times New Roman"/>
          <w:i/>
          <w:iCs/>
          <w:color w:val="auto"/>
          <w:sz w:val="24"/>
          <w:szCs w:val="24"/>
        </w:rPr>
        <w:t>books</w:t>
      </w:r>
      <w:proofErr w:type="spellEnd"/>
      <w:r w:rsidRPr="00596C8F">
        <w:rPr>
          <w:rStyle w:val="a8"/>
          <w:rFonts w:ascii="Times New Roman" w:hAnsi="Times New Roman" w:cs="Times New Roman"/>
          <w:i/>
          <w:iCs/>
          <w:color w:val="auto"/>
          <w:sz w:val="24"/>
          <w:szCs w:val="24"/>
        </w:rPr>
        <w:t>/book-1/part-2/section-8/8-1</w:t>
      </w:r>
      <w:r w:rsidRPr="00596C8F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  <w:r w:rsidRPr="00596C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F739D1" w14:textId="3B38F879" w:rsidR="00F157F8" w:rsidRPr="00596C8F" w:rsidRDefault="00F157F8" w:rsidP="00093B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Куровець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І.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М., Михайло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В.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 xml:space="preserve">А.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Зейкан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О.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Ю., Крупський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Ю.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 xml:space="preserve">З. та ін. Нетрадиційні джерела вуглеводнів України : монографія. У 8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кн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Кн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>. 1. Нетрадиційні джерела вуглеводнів: огляд проблеми / наук. ред. О.</w:t>
      </w:r>
      <w:r w:rsidRPr="00596C8F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Ю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. 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Лукін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>, Д.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С.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proofErr w:type="spellStart"/>
      <w:r w:rsidRPr="00596C8F">
        <w:rPr>
          <w:rFonts w:ascii="Times New Roman" w:hAnsi="Times New Roman" w:cs="Times New Roman"/>
          <w:i/>
          <w:sz w:val="24"/>
          <w:szCs w:val="24"/>
        </w:rPr>
        <w:t>Гурський</w:t>
      </w:r>
      <w:proofErr w:type="spellEnd"/>
      <w:r w:rsidRPr="00596C8F">
        <w:rPr>
          <w:rFonts w:ascii="Times New Roman" w:hAnsi="Times New Roman" w:cs="Times New Roman"/>
          <w:i/>
          <w:sz w:val="24"/>
          <w:szCs w:val="24"/>
        </w:rPr>
        <w:t>. Київ: Ніка-Центр, 2014. 208</w:t>
      </w:r>
      <w:r w:rsidRPr="00596C8F">
        <w:rPr>
          <w:rFonts w:ascii="Times New Roman" w:hAnsi="Times New Roman" w:cs="Times New Roman"/>
          <w:i/>
          <w:sz w:val="24"/>
          <w:szCs w:val="24"/>
          <w:lang w:val="ru-RU"/>
        </w:rPr>
        <w:t> </w:t>
      </w:r>
      <w:r w:rsidRPr="00596C8F">
        <w:rPr>
          <w:rFonts w:ascii="Times New Roman" w:hAnsi="Times New Roman" w:cs="Times New Roman"/>
          <w:i/>
          <w:sz w:val="24"/>
          <w:szCs w:val="24"/>
        </w:rPr>
        <w:t>с.</w:t>
      </w:r>
    </w:p>
    <w:p w14:paraId="32B50864" w14:textId="61FE6903" w:rsidR="0033235E" w:rsidRPr="00596C8F" w:rsidRDefault="0033235E" w:rsidP="00AB3B81">
      <w:pPr>
        <w:pStyle w:val="a6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33235E" w:rsidRPr="00596C8F" w:rsidSect="000A3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339CD"/>
    <w:multiLevelType w:val="hybridMultilevel"/>
    <w:tmpl w:val="7D6275F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607E"/>
    <w:multiLevelType w:val="hybridMultilevel"/>
    <w:tmpl w:val="64D0E4E4"/>
    <w:lvl w:ilvl="0" w:tplc="471A1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361769">
    <w:abstractNumId w:val="1"/>
  </w:num>
  <w:num w:numId="2" w16cid:durableId="137796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AC"/>
    <w:rsid w:val="000505DF"/>
    <w:rsid w:val="00093B04"/>
    <w:rsid w:val="000A3F87"/>
    <w:rsid w:val="000E460C"/>
    <w:rsid w:val="000F432A"/>
    <w:rsid w:val="00100E3D"/>
    <w:rsid w:val="001015AC"/>
    <w:rsid w:val="00104135"/>
    <w:rsid w:val="00141EBD"/>
    <w:rsid w:val="00147BAB"/>
    <w:rsid w:val="00200EB3"/>
    <w:rsid w:val="00215B6B"/>
    <w:rsid w:val="002207CC"/>
    <w:rsid w:val="0025663E"/>
    <w:rsid w:val="00297468"/>
    <w:rsid w:val="002A771A"/>
    <w:rsid w:val="002D39DE"/>
    <w:rsid w:val="002F672C"/>
    <w:rsid w:val="00326794"/>
    <w:rsid w:val="0033235E"/>
    <w:rsid w:val="00372E5E"/>
    <w:rsid w:val="00376D7D"/>
    <w:rsid w:val="003777C8"/>
    <w:rsid w:val="003F6CB4"/>
    <w:rsid w:val="00404AC1"/>
    <w:rsid w:val="00424423"/>
    <w:rsid w:val="004302CF"/>
    <w:rsid w:val="0043579A"/>
    <w:rsid w:val="004505D5"/>
    <w:rsid w:val="005436B9"/>
    <w:rsid w:val="00571D27"/>
    <w:rsid w:val="00596C8F"/>
    <w:rsid w:val="005B40A7"/>
    <w:rsid w:val="005C6B77"/>
    <w:rsid w:val="005D7A79"/>
    <w:rsid w:val="0061677E"/>
    <w:rsid w:val="00797E5F"/>
    <w:rsid w:val="007B5A88"/>
    <w:rsid w:val="007F0B80"/>
    <w:rsid w:val="008056E1"/>
    <w:rsid w:val="00887501"/>
    <w:rsid w:val="008951F9"/>
    <w:rsid w:val="008A17C4"/>
    <w:rsid w:val="00930EEB"/>
    <w:rsid w:val="0099685B"/>
    <w:rsid w:val="009D5D2E"/>
    <w:rsid w:val="00A52C21"/>
    <w:rsid w:val="00A62F5E"/>
    <w:rsid w:val="00AB3B81"/>
    <w:rsid w:val="00AF5F40"/>
    <w:rsid w:val="00B40163"/>
    <w:rsid w:val="00B550F4"/>
    <w:rsid w:val="00B7330D"/>
    <w:rsid w:val="00BB2A71"/>
    <w:rsid w:val="00BB7D9D"/>
    <w:rsid w:val="00BF0406"/>
    <w:rsid w:val="00C21CF1"/>
    <w:rsid w:val="00C30704"/>
    <w:rsid w:val="00C57E22"/>
    <w:rsid w:val="00C821B2"/>
    <w:rsid w:val="00CA3517"/>
    <w:rsid w:val="00CF5C84"/>
    <w:rsid w:val="00D83851"/>
    <w:rsid w:val="00D97622"/>
    <w:rsid w:val="00DD52F3"/>
    <w:rsid w:val="00F10C56"/>
    <w:rsid w:val="00F12A3B"/>
    <w:rsid w:val="00F157F8"/>
    <w:rsid w:val="00F4402C"/>
    <w:rsid w:val="00F55A6B"/>
    <w:rsid w:val="00F734A8"/>
    <w:rsid w:val="00F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FA9"/>
  <w15:chartTrackingRefBased/>
  <w15:docId w15:val="{35792F73-6E6D-4854-AAB6-41C3A7B5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5AC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F12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15AC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015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0F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330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12A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Emphasis"/>
    <w:basedOn w:val="a0"/>
    <w:uiPriority w:val="20"/>
    <w:qFormat/>
    <w:rsid w:val="00F12A3B"/>
    <w:rPr>
      <w:i/>
      <w:iCs/>
    </w:rPr>
  </w:style>
  <w:style w:type="character" w:styleId="a8">
    <w:name w:val="Hyperlink"/>
    <w:basedOn w:val="a0"/>
    <w:uiPriority w:val="99"/>
    <w:unhideWhenUsed/>
    <w:rsid w:val="00AB3B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3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2677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Laziebna</dc:creator>
  <cp:keywords/>
  <dc:description/>
  <cp:lastModifiedBy>Yulia Laziebna</cp:lastModifiedBy>
  <cp:revision>29</cp:revision>
  <dcterms:created xsi:type="dcterms:W3CDTF">2022-04-16T13:20:00Z</dcterms:created>
  <dcterms:modified xsi:type="dcterms:W3CDTF">2022-04-18T18:50:00Z</dcterms:modified>
</cp:coreProperties>
</file>